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EC55A" w14:textId="65D77456" w:rsidR="00A46D01" w:rsidRPr="00663C07" w:rsidRDefault="00A46D01" w:rsidP="006F0C0F">
      <w:pPr>
        <w:tabs>
          <w:tab w:val="right" w:pos="9360"/>
        </w:tabs>
        <w:spacing w:after="0"/>
        <w:rPr>
          <w:rFonts w:ascii="Arial" w:hAnsi="Arial" w:cs="Arial"/>
          <w:b/>
        </w:rPr>
      </w:pPr>
      <w:bookmarkStart w:id="0" w:name="OLE_LINK6"/>
      <w:bookmarkStart w:id="1" w:name="OLE_LINK7"/>
      <w:r w:rsidRPr="00663C07">
        <w:rPr>
          <w:rFonts w:ascii="Arial" w:hAnsi="Arial" w:cs="Arial"/>
          <w:b/>
        </w:rPr>
        <w:t>3GPP TSG RAN WG1 Meeting #9</w:t>
      </w:r>
      <w:r w:rsidR="00F8304F">
        <w:rPr>
          <w:rFonts w:ascii="Arial" w:hAnsi="Arial" w:cs="Arial"/>
          <w:b/>
        </w:rPr>
        <w:t>3</w:t>
      </w:r>
      <w:r w:rsidRPr="00663C07">
        <w:rPr>
          <w:rFonts w:ascii="Arial" w:hAnsi="Arial" w:cs="Arial"/>
          <w:b/>
        </w:rPr>
        <w:tab/>
        <w:t>R1-18</w:t>
      </w:r>
      <w:r>
        <w:rPr>
          <w:rFonts w:ascii="Arial" w:hAnsi="Arial" w:cs="Arial"/>
          <w:b/>
        </w:rPr>
        <w:t>0</w:t>
      </w:r>
      <w:r w:rsidR="006F0C0F">
        <w:rPr>
          <w:rFonts w:ascii="Arial" w:hAnsi="Arial" w:cs="Arial"/>
          <w:b/>
        </w:rPr>
        <w:t>7390</w:t>
      </w:r>
    </w:p>
    <w:p w14:paraId="2B95F1F3" w14:textId="597887B9" w:rsidR="00A46D01" w:rsidRDefault="00F8304F" w:rsidP="006F0C0F">
      <w:pPr>
        <w:spacing w:after="0"/>
        <w:rPr>
          <w:rFonts w:ascii="Arial" w:hAnsi="Arial" w:cs="Arial"/>
          <w:b/>
        </w:rPr>
      </w:pPr>
      <w:r>
        <w:rPr>
          <w:rFonts w:ascii="Arial" w:hAnsi="Arial" w:cs="Arial"/>
          <w:b/>
        </w:rPr>
        <w:t>Busan</w:t>
      </w:r>
      <w:r w:rsidR="00A46D01" w:rsidRPr="00663C07">
        <w:rPr>
          <w:rFonts w:ascii="Arial" w:hAnsi="Arial" w:cs="Arial"/>
          <w:b/>
        </w:rPr>
        <w:t xml:space="preserve">, </w:t>
      </w:r>
      <w:r>
        <w:rPr>
          <w:rFonts w:ascii="Arial" w:hAnsi="Arial" w:cs="Arial"/>
          <w:b/>
        </w:rPr>
        <w:t>Korea</w:t>
      </w:r>
      <w:r w:rsidR="00A46D01" w:rsidRPr="00663C07">
        <w:rPr>
          <w:rFonts w:ascii="Arial" w:hAnsi="Arial" w:cs="Arial"/>
          <w:b/>
        </w:rPr>
        <w:t xml:space="preserve">, </w:t>
      </w:r>
      <w:bookmarkStart w:id="2" w:name="_Hlk506208126"/>
    </w:p>
    <w:p w14:paraId="326FD277" w14:textId="26FCE727" w:rsidR="00A46D01" w:rsidRPr="00663C07" w:rsidRDefault="00F8304F" w:rsidP="006F0C0F">
      <w:pPr>
        <w:spacing w:after="0"/>
        <w:rPr>
          <w:rFonts w:ascii="Arial" w:hAnsi="Arial" w:cs="Arial"/>
          <w:b/>
        </w:rPr>
      </w:pPr>
      <w:r>
        <w:rPr>
          <w:rFonts w:ascii="Arial" w:hAnsi="Arial" w:cs="Arial"/>
          <w:b/>
        </w:rPr>
        <w:t>May 21</w:t>
      </w:r>
      <w:r w:rsidRPr="00F8304F">
        <w:rPr>
          <w:rFonts w:ascii="Arial" w:hAnsi="Arial" w:cs="Arial"/>
          <w:b/>
          <w:vertAlign w:val="superscript"/>
        </w:rPr>
        <w:t>st</w:t>
      </w:r>
      <w:r>
        <w:rPr>
          <w:rFonts w:ascii="Arial" w:hAnsi="Arial" w:cs="Arial"/>
          <w:b/>
        </w:rPr>
        <w:t xml:space="preserve"> – May 25</w:t>
      </w:r>
      <w:r w:rsidRPr="00F8304F">
        <w:rPr>
          <w:rFonts w:ascii="Arial" w:hAnsi="Arial" w:cs="Arial"/>
          <w:b/>
          <w:vertAlign w:val="superscript"/>
        </w:rPr>
        <w:t>th</w:t>
      </w:r>
      <w:r w:rsidR="00A46D01" w:rsidRPr="00663C07">
        <w:rPr>
          <w:rFonts w:ascii="Arial" w:hAnsi="Arial" w:cs="Arial"/>
          <w:b/>
        </w:rPr>
        <w:t>, 2018</w:t>
      </w:r>
      <w:bookmarkEnd w:id="2"/>
    </w:p>
    <w:p w14:paraId="7B424D61" w14:textId="77777777" w:rsidR="007560B7" w:rsidRPr="00097AB4" w:rsidRDefault="007560B7" w:rsidP="00F53A74"/>
    <w:p w14:paraId="399F8BF5" w14:textId="05A08568" w:rsidR="007560B7" w:rsidRPr="006F0C0F" w:rsidRDefault="007560B7" w:rsidP="006F0C0F">
      <w:pPr>
        <w:spacing w:after="0"/>
        <w:rPr>
          <w:b/>
          <w:snapToGrid w:val="0"/>
        </w:rPr>
      </w:pPr>
      <w:r w:rsidRPr="006F0C0F">
        <w:rPr>
          <w:b/>
          <w:snapToGrid w:val="0"/>
        </w:rPr>
        <w:t xml:space="preserve">Agenda item: </w:t>
      </w:r>
      <w:r w:rsidR="00335B11" w:rsidRPr="006F0C0F">
        <w:rPr>
          <w:b/>
          <w:snapToGrid w:val="0"/>
        </w:rPr>
        <w:t xml:space="preserve">   </w:t>
      </w:r>
      <w:r w:rsidR="00FA110D" w:rsidRPr="006F0C0F">
        <w:rPr>
          <w:b/>
          <w:snapToGrid w:val="0"/>
        </w:rPr>
        <w:t>7.6.4</w:t>
      </w:r>
      <w:r w:rsidR="00F8304F" w:rsidRPr="006F0C0F">
        <w:rPr>
          <w:b/>
          <w:snapToGrid w:val="0"/>
        </w:rPr>
        <w:t>.2</w:t>
      </w:r>
    </w:p>
    <w:p w14:paraId="38C90A73" w14:textId="0A087C55" w:rsidR="007560B7" w:rsidRPr="006F0C0F" w:rsidRDefault="007560B7" w:rsidP="006F0C0F">
      <w:pPr>
        <w:spacing w:after="0"/>
        <w:rPr>
          <w:b/>
        </w:rPr>
      </w:pPr>
      <w:r w:rsidRPr="006F0C0F">
        <w:rPr>
          <w:b/>
          <w:snapToGrid w:val="0"/>
        </w:rPr>
        <w:t xml:space="preserve">Source:             </w:t>
      </w:r>
      <w:r w:rsidR="00663C07" w:rsidRPr="006F0C0F">
        <w:rPr>
          <w:b/>
          <w:snapToGrid w:val="0"/>
        </w:rPr>
        <w:t xml:space="preserve"> </w:t>
      </w:r>
      <w:r w:rsidRPr="006F0C0F">
        <w:rPr>
          <w:b/>
          <w:snapToGrid w:val="0"/>
        </w:rPr>
        <w:t>Qualcomm</w:t>
      </w:r>
      <w:r w:rsidRPr="006F0C0F">
        <w:rPr>
          <w:rFonts w:eastAsia="SimSun"/>
          <w:b/>
          <w:snapToGrid w:val="0"/>
          <w:lang w:eastAsia="zh-CN"/>
        </w:rPr>
        <w:t xml:space="preserve"> </w:t>
      </w:r>
      <w:r w:rsidRPr="006F0C0F">
        <w:rPr>
          <w:b/>
        </w:rPr>
        <w:t>Incorporated</w:t>
      </w:r>
    </w:p>
    <w:p w14:paraId="7FABE148" w14:textId="167A0D08" w:rsidR="00335B11" w:rsidRPr="006F0C0F" w:rsidRDefault="007560B7" w:rsidP="006F0C0F">
      <w:pPr>
        <w:spacing w:after="0"/>
        <w:rPr>
          <w:b/>
          <w:snapToGrid w:val="0"/>
        </w:rPr>
      </w:pPr>
      <w:r w:rsidRPr="006F0C0F">
        <w:rPr>
          <w:b/>
          <w:snapToGrid w:val="0"/>
        </w:rPr>
        <w:t xml:space="preserve">Title:                  </w:t>
      </w:r>
      <w:r w:rsidR="00F8304F" w:rsidRPr="006F0C0F">
        <w:rPr>
          <w:b/>
          <w:snapToGrid w:val="0"/>
        </w:rPr>
        <w:t xml:space="preserve">Initial access and mobility procedures for </w:t>
      </w:r>
      <w:r w:rsidR="00FA110D" w:rsidRPr="006F0C0F">
        <w:rPr>
          <w:b/>
          <w:snapToGrid w:val="0"/>
        </w:rPr>
        <w:t>NR unlicensed</w:t>
      </w:r>
    </w:p>
    <w:p w14:paraId="62BEAD57" w14:textId="737004AB" w:rsidR="007560B7" w:rsidRPr="006F0C0F" w:rsidRDefault="007560B7" w:rsidP="006F0C0F">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6F0C0F">
      <w:pPr>
        <w:numPr>
          <w:ilvl w:val="0"/>
          <w:numId w:val="18"/>
        </w:numPr>
        <w:spacing w:after="0"/>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6F0C0F">
      <w:pPr>
        <w:numPr>
          <w:ilvl w:val="1"/>
          <w:numId w:val="19"/>
        </w:numPr>
        <w:spacing w:after="0"/>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6F0C0F">
      <w:pPr>
        <w:numPr>
          <w:ilvl w:val="2"/>
          <w:numId w:val="19"/>
        </w:numPr>
        <w:spacing w:after="0"/>
        <w:rPr>
          <w:bCs/>
          <w:lang w:val="en-US"/>
        </w:rPr>
      </w:pPr>
      <w:r w:rsidRPr="0015088F">
        <w:rPr>
          <w:bCs/>
          <w:lang w:val="en-US"/>
        </w:rPr>
        <w:t>Consider unlicensed bands both below and above 6GHz, up to 52.6GHz</w:t>
      </w:r>
    </w:p>
    <w:p w14:paraId="55829774" w14:textId="77777777" w:rsidR="0015088F" w:rsidRPr="0015088F" w:rsidRDefault="0015088F" w:rsidP="006F0C0F">
      <w:pPr>
        <w:numPr>
          <w:ilvl w:val="2"/>
          <w:numId w:val="19"/>
        </w:numPr>
        <w:spacing w:after="0"/>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6F0C0F">
      <w:pPr>
        <w:numPr>
          <w:ilvl w:val="2"/>
          <w:numId w:val="19"/>
        </w:numPr>
        <w:spacing w:after="0"/>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6F0C0F">
      <w:pPr>
        <w:numPr>
          <w:ilvl w:val="1"/>
          <w:numId w:val="19"/>
        </w:numPr>
        <w:spacing w:after="0"/>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6F0C0F">
      <w:pPr>
        <w:numPr>
          <w:ilvl w:val="1"/>
          <w:numId w:val="19"/>
        </w:numPr>
        <w:spacing w:after="0"/>
        <w:rPr>
          <w:bCs/>
          <w:lang w:val="en-US"/>
        </w:rPr>
      </w:pPr>
      <w:r w:rsidRPr="0015088F">
        <w:rPr>
          <w:bCs/>
          <w:lang w:val="en-US"/>
        </w:rPr>
        <w:t>Coexistence methods within NR-based and between NR-based operation in unlicensed and LTE-based LAA and with other incumbent RATs in accordance with regulatory requirements in e.g., 5</w:t>
      </w:r>
      <w:proofErr w:type="gramStart"/>
      <w:r w:rsidRPr="0015088F">
        <w:rPr>
          <w:bCs/>
          <w:lang w:val="en-US"/>
        </w:rPr>
        <w:t>GHz ,</w:t>
      </w:r>
      <w:proofErr w:type="gramEnd"/>
      <w:r w:rsidRPr="0015088F">
        <w:rPr>
          <w:bCs/>
          <w:lang w:val="en-US"/>
        </w:rPr>
        <w:t xml:space="preserve"> 37GHz, 60GHz bands </w:t>
      </w:r>
    </w:p>
    <w:p w14:paraId="1D98E95D" w14:textId="77777777" w:rsidR="0015088F" w:rsidRPr="0015088F" w:rsidRDefault="0015088F" w:rsidP="006F0C0F">
      <w:pPr>
        <w:numPr>
          <w:ilvl w:val="2"/>
          <w:numId w:val="19"/>
        </w:numPr>
        <w:spacing w:after="0"/>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6F0C0F">
      <w:pPr>
        <w:widowControl/>
        <w:numPr>
          <w:ilvl w:val="1"/>
          <w:numId w:val="19"/>
        </w:numPr>
        <w:kinsoku/>
        <w:adjustRightInd w:val="0"/>
        <w:spacing w:after="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6F0C0F">
      <w:pPr>
        <w:widowControl/>
        <w:numPr>
          <w:ilvl w:val="2"/>
          <w:numId w:val="19"/>
        </w:numPr>
        <w:kinsoku/>
        <w:adjustRightInd w:val="0"/>
        <w:spacing w:after="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0C26B8F1" w14:textId="77777777" w:rsidR="00525F0E" w:rsidRPr="00525F0E" w:rsidRDefault="00525F0E" w:rsidP="006F0C0F">
      <w:pPr>
        <w:widowControl/>
        <w:numPr>
          <w:ilvl w:val="1"/>
          <w:numId w:val="19"/>
        </w:numPr>
        <w:kinsoku/>
        <w:adjustRightInd w:val="0"/>
        <w:spacing w:after="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6F0C0F">
      <w:pPr>
        <w:widowControl/>
        <w:numPr>
          <w:ilvl w:val="1"/>
          <w:numId w:val="19"/>
        </w:numPr>
        <w:kinsoku/>
        <w:adjustRightInd w:val="0"/>
        <w:spacing w:after="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49A6CE0E" w14:textId="4B5FCCFF" w:rsidR="004E297C" w:rsidRDefault="0015088F" w:rsidP="00F8304F">
      <w:pPr>
        <w:rPr>
          <w:lang w:val="en-US"/>
        </w:rPr>
      </w:pPr>
      <w:r>
        <w:rPr>
          <w:lang w:val="en-US"/>
        </w:rPr>
        <w:t>In this paper, we discuss</w:t>
      </w:r>
      <w:r w:rsidR="00F8304F">
        <w:rPr>
          <w:lang w:val="en-US"/>
        </w:rPr>
        <w:t xml:space="preserve"> i</w:t>
      </w:r>
      <w:r w:rsidR="004E297C">
        <w:rPr>
          <w:lang w:val="en-US"/>
        </w:rPr>
        <w:t xml:space="preserve">nitial access </w:t>
      </w:r>
      <w:r w:rsidR="006F0C0F">
        <w:rPr>
          <w:lang w:val="en-US"/>
        </w:rPr>
        <w:t xml:space="preserve">and mobility </w:t>
      </w:r>
      <w:r w:rsidR="004E297C">
        <w:rPr>
          <w:lang w:val="en-US"/>
        </w:rPr>
        <w:t>procedure</w:t>
      </w:r>
      <w:r w:rsidR="006F0C0F">
        <w:rPr>
          <w:lang w:val="en-US"/>
        </w:rPr>
        <w:t>s.</w:t>
      </w:r>
    </w:p>
    <w:p w14:paraId="2144C7AB" w14:textId="0CFC2470" w:rsidR="00A459DE" w:rsidRDefault="00A459DE" w:rsidP="00A459DE">
      <w:pPr>
        <w:pStyle w:val="Heading1"/>
      </w:pPr>
      <w:r>
        <w:t>Discussions</w:t>
      </w:r>
    </w:p>
    <w:p w14:paraId="7BA9A517" w14:textId="42B58680" w:rsidR="00C41C7A" w:rsidRDefault="00097AB4" w:rsidP="00097AB4">
      <w:pPr>
        <w:pStyle w:val="Heading2"/>
      </w:pPr>
      <w:r>
        <w:t>2.</w:t>
      </w:r>
      <w:r w:rsidR="00F8304F">
        <w:t>1</w:t>
      </w:r>
      <w:r w:rsidR="00C41C7A">
        <w:t xml:space="preserve"> </w:t>
      </w:r>
      <w:r w:rsidR="00C41C7A">
        <w:tab/>
        <w:t>Initial access procedures</w:t>
      </w:r>
    </w:p>
    <w:p w14:paraId="63E294D8" w14:textId="77777777" w:rsidR="006A4795" w:rsidRPr="001C2D90" w:rsidRDefault="006A4795" w:rsidP="006A4795">
      <w:pPr>
        <w:rPr>
          <w:szCs w:val="20"/>
        </w:rPr>
      </w:pPr>
      <w:r w:rsidRPr="001C2D90">
        <w:rPr>
          <w:szCs w:val="20"/>
        </w:rPr>
        <w:t>In some regulations and coexistence regimes, access to unlicensed spectrum bands is granted after a listen-before-talk (LBT) procedure. Deployments in such bands, experience non-deterministic timing for critical channels.</w:t>
      </w:r>
    </w:p>
    <w:p w14:paraId="39F052CE" w14:textId="0E5E5068" w:rsidR="006A4795" w:rsidRPr="004E297C" w:rsidRDefault="006A4795" w:rsidP="006A4795">
      <w:pPr>
        <w:rPr>
          <w:b/>
          <w:szCs w:val="20"/>
        </w:rPr>
      </w:pPr>
      <w:bookmarkStart w:id="3" w:name="init1"/>
      <w:r w:rsidRPr="004E297C">
        <w:rPr>
          <w:b/>
          <w:szCs w:val="20"/>
        </w:rPr>
        <w:t xml:space="preserve">Observation </w:t>
      </w:r>
      <w:r w:rsidR="004E297C">
        <w:rPr>
          <w:b/>
          <w:szCs w:val="20"/>
        </w:rPr>
        <w:fldChar w:fldCharType="begin"/>
      </w:r>
      <w:r w:rsidR="004E297C">
        <w:rPr>
          <w:b/>
          <w:szCs w:val="20"/>
        </w:rPr>
        <w:instrText xml:space="preserve"> seq ob </w:instrText>
      </w:r>
      <w:r w:rsidR="004E297C">
        <w:rPr>
          <w:b/>
          <w:szCs w:val="20"/>
        </w:rPr>
        <w:fldChar w:fldCharType="separate"/>
      </w:r>
      <w:r w:rsidR="006F0C0F">
        <w:rPr>
          <w:b/>
          <w:noProof/>
          <w:szCs w:val="20"/>
        </w:rPr>
        <w:t>1</w:t>
      </w:r>
      <w:r w:rsidR="004E297C">
        <w:rPr>
          <w:b/>
          <w:szCs w:val="20"/>
        </w:rPr>
        <w:fldChar w:fldCharType="end"/>
      </w:r>
      <w:r w:rsidRPr="004E297C">
        <w:rPr>
          <w:b/>
          <w:szCs w:val="20"/>
        </w:rPr>
        <w:t>: In LBT bands, deterministic timing cannot be expected for downlink and uplink channels used for cell detection, RRM, paging and (initial, possibly subsequent) uplink access.</w:t>
      </w:r>
    </w:p>
    <w:bookmarkEnd w:id="3"/>
    <w:p w14:paraId="10846DA9" w14:textId="3DA54798" w:rsidR="006A4795" w:rsidRPr="001C2D90" w:rsidRDefault="006A4795" w:rsidP="006A4795">
      <w:pPr>
        <w:rPr>
          <w:szCs w:val="20"/>
        </w:rPr>
      </w:pPr>
      <w:r w:rsidRPr="001C2D90">
        <w:rPr>
          <w:szCs w:val="20"/>
        </w:rPr>
        <w:t xml:space="preserve">Robust mobility mechanisms should not make fundamental assumptions on inter-cell synchronizations. While synchronous NR networks in contention environments can be considered for optimization, the robust signalling of protected DL and UL channel resources shall allow asynchronous deployments for both intra and inter-operator </w:t>
      </w:r>
      <w:r w:rsidRPr="001C2D90">
        <w:rPr>
          <w:szCs w:val="20"/>
        </w:rPr>
        <w:lastRenderedPageBreak/>
        <w:t>neighbour cells.</w:t>
      </w:r>
    </w:p>
    <w:p w14:paraId="2C214203" w14:textId="3A28B7A4" w:rsidR="006A4795" w:rsidRPr="004E297C" w:rsidRDefault="006A4795" w:rsidP="006A4795">
      <w:pPr>
        <w:rPr>
          <w:b/>
          <w:szCs w:val="20"/>
        </w:rPr>
      </w:pPr>
      <w:bookmarkStart w:id="4" w:name="init2"/>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1</w:t>
      </w:r>
      <w:r w:rsidR="004E297C" w:rsidRPr="004E297C">
        <w:rPr>
          <w:b/>
          <w:szCs w:val="20"/>
        </w:rPr>
        <w:fldChar w:fldCharType="end"/>
      </w:r>
      <w:r w:rsidRPr="004E297C">
        <w:rPr>
          <w:b/>
          <w:szCs w:val="20"/>
        </w:rPr>
        <w:t>: Cell discovery and mobility should support both synchronous and asynchronous neighbour cell (intra and inter-operator) deployments.</w:t>
      </w:r>
    </w:p>
    <w:bookmarkEnd w:id="4"/>
    <w:p w14:paraId="59B0EF4E" w14:textId="15C2B4E2" w:rsidR="006A4795" w:rsidRDefault="004E297C" w:rsidP="004E297C">
      <w:pPr>
        <w:pStyle w:val="Heading3"/>
        <w:numPr>
          <w:ilvl w:val="0"/>
          <w:numId w:val="0"/>
        </w:numPr>
        <w:ind w:left="720" w:hanging="720"/>
        <w:rPr>
          <w:b/>
        </w:rPr>
      </w:pPr>
      <w:r>
        <w:t>2.</w:t>
      </w:r>
      <w:r w:rsidR="00F8304F">
        <w:t>1</w:t>
      </w:r>
      <w:r>
        <w:t>.1</w:t>
      </w:r>
      <w:r w:rsidR="006A4795">
        <w:tab/>
      </w:r>
      <w:r w:rsidR="006A4795" w:rsidRPr="00E562AB">
        <w:t>Synchronization Signal</w:t>
      </w:r>
    </w:p>
    <w:p w14:paraId="73D9681D" w14:textId="4B99D185" w:rsidR="006A4795" w:rsidRPr="001C2D90" w:rsidRDefault="006A4795" w:rsidP="006A4795">
      <w:pPr>
        <w:rPr>
          <w:szCs w:val="20"/>
        </w:rPr>
      </w:pPr>
      <w:r w:rsidRPr="001C2D90">
        <w:rPr>
          <w:szCs w:val="20"/>
        </w:rPr>
        <w:t>Each gNB transmits a discovery signal consisting of one or more SSBs (PSS, SSS and PBCH) to enable UEs and other nodes operating on the same channel to discover the gNB and perform (fine) timing and frequency synchronization. In addition, the discovery signal may optionally contain CSI-RS signals to enable UEs to perform CQI measurements.</w:t>
      </w:r>
    </w:p>
    <w:p w14:paraId="0F04523F" w14:textId="3A9669C4" w:rsidR="006A4795" w:rsidRPr="004E297C" w:rsidRDefault="006A4795" w:rsidP="006A4795">
      <w:pPr>
        <w:rPr>
          <w:b/>
          <w:szCs w:val="20"/>
        </w:rPr>
      </w:pPr>
      <w:bookmarkStart w:id="5" w:name="init3"/>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6F0C0F">
        <w:rPr>
          <w:b/>
          <w:noProof/>
          <w:szCs w:val="20"/>
        </w:rPr>
        <w:t>2</w:t>
      </w:r>
      <w:r w:rsidR="004E297C" w:rsidRPr="004E297C">
        <w:rPr>
          <w:b/>
          <w:szCs w:val="20"/>
        </w:rPr>
        <w:fldChar w:fldCharType="end"/>
      </w:r>
      <w:r w:rsidRPr="004E297C">
        <w:rPr>
          <w:b/>
          <w:szCs w:val="20"/>
        </w:rPr>
        <w:t>: SS bursts are the basis for discovery signal (DRS) design in NR unlicensed cells.</w:t>
      </w:r>
    </w:p>
    <w:bookmarkEnd w:id="5"/>
    <w:p w14:paraId="65242F2E" w14:textId="225E474D" w:rsidR="006A4795" w:rsidRPr="001C2D90" w:rsidRDefault="006A4795" w:rsidP="006A4795">
      <w:pPr>
        <w:rPr>
          <w:szCs w:val="20"/>
        </w:rPr>
      </w:pPr>
      <w:r w:rsidRPr="001C2D90">
        <w:rPr>
          <w:szCs w:val="20"/>
        </w:rPr>
        <w:t xml:space="preserve">For neighbour cell discovery and measurement, LTE-LAA relies on DMTC to detect and measure LAA cells. In NR, a closely related configuration is SMTC, configured periodically for UE to measure SSB. The concept has proven </w:t>
      </w:r>
      <w:r w:rsidR="002B3CE3">
        <w:rPr>
          <w:szCs w:val="20"/>
        </w:rPr>
        <w:t xml:space="preserve">to be </w:t>
      </w:r>
      <w:r w:rsidRPr="001C2D90">
        <w:rPr>
          <w:szCs w:val="20"/>
        </w:rPr>
        <w:t>robust for LTE-LAA; we propose it constitute a foundation for cell discovery in NR unlicensed.</w:t>
      </w:r>
    </w:p>
    <w:p w14:paraId="11449866" w14:textId="50124A25" w:rsidR="006A4795" w:rsidRPr="004E297C" w:rsidRDefault="006A4795" w:rsidP="006A4795">
      <w:pPr>
        <w:rPr>
          <w:b/>
          <w:szCs w:val="20"/>
        </w:rPr>
      </w:pPr>
      <w:bookmarkStart w:id="6" w:name="init4"/>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2</w:t>
      </w:r>
      <w:r w:rsidR="004E297C" w:rsidRPr="004E297C">
        <w:rPr>
          <w:b/>
          <w:szCs w:val="20"/>
        </w:rPr>
        <w:fldChar w:fldCharType="end"/>
      </w:r>
      <w:r w:rsidRPr="004E297C">
        <w:rPr>
          <w:b/>
          <w:szCs w:val="20"/>
        </w:rPr>
        <w:t xml:space="preserve">: Discovery signal should be transmitted opportunistically in a window every SMTC-U (SMTC for NR Unlicensed) period. Discovery window design should </w:t>
      </w:r>
      <w:r w:rsidR="002B3CE3">
        <w:rPr>
          <w:b/>
          <w:szCs w:val="20"/>
        </w:rPr>
        <w:t xml:space="preserve">strive </w:t>
      </w:r>
      <w:r w:rsidRPr="004E297C">
        <w:rPr>
          <w:b/>
          <w:szCs w:val="20"/>
        </w:rPr>
        <w:t xml:space="preserve">to benefit – to the extent possible under regulation – from higher priority access or protection </w:t>
      </w:r>
    </w:p>
    <w:bookmarkEnd w:id="6"/>
    <w:p w14:paraId="3562A71E" w14:textId="404F02D3" w:rsidR="006A4795" w:rsidRPr="001C2D90" w:rsidRDefault="006A4795" w:rsidP="006A4795">
      <w:pPr>
        <w:rPr>
          <w:szCs w:val="20"/>
        </w:rPr>
      </w:pPr>
      <w:r w:rsidRPr="001C2D90">
        <w:rPr>
          <w:szCs w:val="20"/>
        </w:rPr>
        <w:t>A</w:t>
      </w:r>
      <w:r w:rsidR="002B3CE3">
        <w:rPr>
          <w:szCs w:val="20"/>
        </w:rPr>
        <w:t>n</w:t>
      </w:r>
      <w:r w:rsidRPr="001C2D90">
        <w:rPr>
          <w:szCs w:val="20"/>
        </w:rPr>
        <w:t xml:space="preserve"> illustration of the role of SMTC-U in an NR-U multi-operator deployment is </w:t>
      </w:r>
      <w:r w:rsidR="002B3CE3">
        <w:rPr>
          <w:szCs w:val="20"/>
        </w:rPr>
        <w:t>shown</w:t>
      </w:r>
      <w:r w:rsidR="002B3CE3" w:rsidRPr="001C2D90">
        <w:rPr>
          <w:szCs w:val="20"/>
        </w:rPr>
        <w:t xml:space="preserve"> </w:t>
      </w:r>
      <w:r w:rsidRPr="001C2D90">
        <w:rPr>
          <w:szCs w:val="20"/>
        </w:rPr>
        <w:t>in the figure below. In this example (which does not show non-3GPP technologies), operator 1 does not transmit in the SMTC-U for operator 2, and vice-versa.</w:t>
      </w:r>
    </w:p>
    <w:p w14:paraId="3365561B" w14:textId="77777777" w:rsidR="006F0C0F" w:rsidRDefault="006A4795" w:rsidP="006F0C0F">
      <w:pPr>
        <w:keepNext/>
      </w:pPr>
      <w:r w:rsidRPr="001C2D90">
        <w:rPr>
          <w:noProof/>
          <w:szCs w:val="20"/>
        </w:rPr>
        <w:drawing>
          <wp:inline distT="0" distB="0" distL="0" distR="0" wp14:anchorId="2BF4FE83" wp14:editId="70D4AACC">
            <wp:extent cx="5951220" cy="1654392"/>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584CA91D" w14:textId="5C16FAC4" w:rsidR="006A4795" w:rsidRPr="001C2D90" w:rsidRDefault="006F0C0F" w:rsidP="006F0C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C2D90">
        <w:t>Illustration of SMTC-U coordination between NR-U deployments (two operators)</w:t>
      </w:r>
    </w:p>
    <w:p w14:paraId="18E09660" w14:textId="77777777" w:rsidR="006A4795" w:rsidRPr="001C2D90" w:rsidRDefault="006A4795" w:rsidP="000E1963">
      <w:pPr>
        <w:spacing w:after="0"/>
        <w:rPr>
          <w:szCs w:val="20"/>
        </w:rPr>
      </w:pPr>
      <w:r w:rsidRPr="001C2D90">
        <w:rPr>
          <w:szCs w:val="20"/>
        </w:rPr>
        <w:t>SSB Indices may be used to represent beam or beam repetitions. The number of SSB Indices is limited for both FR1 and FR2. If SS burst transmission start is delayed by LBT, RAN1 should consider the impact on mapping between SSB indices and:</w:t>
      </w:r>
    </w:p>
    <w:p w14:paraId="7AF5B219" w14:textId="77777777" w:rsidR="006A4795" w:rsidRPr="001C2D90" w:rsidRDefault="006A4795" w:rsidP="004E297C">
      <w:pPr>
        <w:pStyle w:val="ListParagraph"/>
        <w:numPr>
          <w:ilvl w:val="0"/>
          <w:numId w:val="19"/>
        </w:numPr>
        <w:kinsoku/>
        <w:overflowPunct/>
      </w:pPr>
      <w:r w:rsidRPr="001C2D90">
        <w:t>Beams / RACH occasions</w:t>
      </w:r>
    </w:p>
    <w:p w14:paraId="3EBE5607" w14:textId="77777777" w:rsidR="006A4795" w:rsidRPr="001C2D90" w:rsidRDefault="006A4795" w:rsidP="004E297C">
      <w:pPr>
        <w:pStyle w:val="ListParagraph"/>
        <w:numPr>
          <w:ilvl w:val="0"/>
          <w:numId w:val="19"/>
        </w:numPr>
        <w:kinsoku/>
        <w:overflowPunct/>
      </w:pPr>
      <w:r w:rsidRPr="001C2D90">
        <w:t>SFN / cell timing</w:t>
      </w:r>
    </w:p>
    <w:p w14:paraId="72DC8E07" w14:textId="00E26882" w:rsidR="006A4795" w:rsidRPr="001C2D90" w:rsidRDefault="006A4795" w:rsidP="006A4795">
      <w:pPr>
        <w:rPr>
          <w:szCs w:val="20"/>
        </w:rPr>
      </w:pPr>
      <w:r w:rsidRPr="001C2D90">
        <w:rPr>
          <w:szCs w:val="20"/>
        </w:rPr>
        <w:t xml:space="preserve">Depending on how </w:t>
      </w:r>
      <w:r w:rsidR="002B3CE3">
        <w:rPr>
          <w:szCs w:val="20"/>
        </w:rPr>
        <w:t xml:space="preserve">the </w:t>
      </w:r>
      <w:r w:rsidRPr="001C2D90">
        <w:rPr>
          <w:szCs w:val="20"/>
        </w:rPr>
        <w:t>SSB indexing interacts with opportunistic DRS transmission in SMTC-U, RAN1 would need to consider whether the SSB index range must be expanded in unlicensed bands, or additional information is needed to convey cell timing or RACH mapping, etc.</w:t>
      </w:r>
    </w:p>
    <w:p w14:paraId="7AE50CF1" w14:textId="0BF84E52" w:rsidR="006A4795" w:rsidRPr="004E297C" w:rsidRDefault="006A4795" w:rsidP="006A4795">
      <w:pPr>
        <w:rPr>
          <w:b/>
          <w:szCs w:val="20"/>
        </w:rPr>
      </w:pPr>
      <w:bookmarkStart w:id="7" w:name="init5"/>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6F0C0F">
        <w:rPr>
          <w:b/>
          <w:noProof/>
          <w:szCs w:val="20"/>
        </w:rPr>
        <w:t>3</w:t>
      </w:r>
      <w:r w:rsidR="004E297C" w:rsidRPr="004E297C">
        <w:rPr>
          <w:b/>
          <w:szCs w:val="20"/>
        </w:rPr>
        <w:fldChar w:fldCharType="end"/>
      </w:r>
      <w:r w:rsidRPr="004E297C">
        <w:rPr>
          <w:b/>
          <w:szCs w:val="20"/>
        </w:rPr>
        <w:t xml:space="preserve">: SSB index </w:t>
      </w:r>
      <w:proofErr w:type="spellStart"/>
      <w:r w:rsidRPr="004E297C">
        <w:rPr>
          <w:b/>
          <w:szCs w:val="20"/>
        </w:rPr>
        <w:t>signaling</w:t>
      </w:r>
      <w:proofErr w:type="spellEnd"/>
      <w:r w:rsidRPr="004E297C">
        <w:rPr>
          <w:b/>
          <w:szCs w:val="20"/>
        </w:rPr>
        <w:t xml:space="preserve"> needs particular consideration for NR Unlicensed.</w:t>
      </w:r>
    </w:p>
    <w:bookmarkEnd w:id="7"/>
    <w:p w14:paraId="402E6D3E" w14:textId="07456A32" w:rsidR="006A4795" w:rsidRPr="00A121E9" w:rsidRDefault="004E297C" w:rsidP="004E297C">
      <w:pPr>
        <w:pStyle w:val="Heading3"/>
        <w:numPr>
          <w:ilvl w:val="0"/>
          <w:numId w:val="0"/>
        </w:numPr>
        <w:ind w:left="720" w:hanging="720"/>
      </w:pPr>
      <w:r>
        <w:t>2.</w:t>
      </w:r>
      <w:r w:rsidR="00F8304F">
        <w:t>1</w:t>
      </w:r>
      <w:r>
        <w:t>.2</w:t>
      </w:r>
      <w:r w:rsidR="006A4795" w:rsidRPr="00A121E9">
        <w:tab/>
      </w:r>
      <w:r w:rsidR="006A4795" w:rsidRPr="00A121E9">
        <w:rPr>
          <w:noProof/>
        </w:rPr>
        <w:drawing>
          <wp:anchor distT="0" distB="0" distL="114300" distR="114300" simplePos="0" relativeHeight="251711488" behindDoc="0" locked="0" layoutInCell="1" allowOverlap="1" wp14:anchorId="29A951B1" wp14:editId="5FAFB742">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006A4795" w:rsidRPr="00A121E9">
        <w:t>Broadcast and Paging</w:t>
      </w:r>
    </w:p>
    <w:p w14:paraId="5021A862" w14:textId="2E0E07B9" w:rsidR="006A4795" w:rsidRPr="001C2D90" w:rsidRDefault="006A4795" w:rsidP="006A4795">
      <w:pPr>
        <w:rPr>
          <w:szCs w:val="20"/>
        </w:rPr>
      </w:pPr>
      <w:r w:rsidRPr="001C2D90">
        <w:rPr>
          <w:szCs w:val="20"/>
        </w:rPr>
        <w:t xml:space="preserve">Along with evaluating cell signal strength, UE needs to acquire </w:t>
      </w:r>
      <w:r w:rsidRPr="001C2D90">
        <w:rPr>
          <w:b/>
          <w:szCs w:val="20"/>
        </w:rPr>
        <w:t>essential deployment information</w:t>
      </w:r>
      <w:r w:rsidRPr="001C2D90">
        <w:rPr>
          <w:szCs w:val="20"/>
        </w:rPr>
        <w:t xml:space="preserve"> (e.g. PLMN ID, cell association parameters, frame structure and LBT parameters etc.) in a system information block. This enables UEs of </w:t>
      </w:r>
      <w:proofErr w:type="spellStart"/>
      <w:r w:rsidRPr="001C2D90">
        <w:rPr>
          <w:szCs w:val="20"/>
        </w:rPr>
        <w:t>neighboring</w:t>
      </w:r>
      <w:proofErr w:type="spellEnd"/>
      <w:r w:rsidRPr="001C2D90">
        <w:rPr>
          <w:szCs w:val="20"/>
        </w:rPr>
        <w:t xml:space="preserve"> cells</w:t>
      </w:r>
      <w:r w:rsidR="002B3CE3">
        <w:rPr>
          <w:szCs w:val="20"/>
        </w:rPr>
        <w:t xml:space="preserve"> to</w:t>
      </w:r>
      <w:r w:rsidRPr="001C2D90">
        <w:rPr>
          <w:szCs w:val="20"/>
        </w:rPr>
        <w:t xml:space="preserve"> perform RRM measurements and allows for better co-existence between nodes of different deployments. Essential system information should benefit from channel access protection.</w:t>
      </w:r>
    </w:p>
    <w:p w14:paraId="257F1282" w14:textId="01558174" w:rsidR="006A4795" w:rsidRPr="001C2D90" w:rsidRDefault="006A4795" w:rsidP="006A4795">
      <w:pPr>
        <w:rPr>
          <w:szCs w:val="20"/>
        </w:rPr>
      </w:pPr>
      <w:r w:rsidRPr="001C2D90">
        <w:rPr>
          <w:szCs w:val="20"/>
        </w:rPr>
        <w:t xml:space="preserve">Similarly, </w:t>
      </w:r>
      <w:r w:rsidRPr="001C2D90">
        <w:rPr>
          <w:b/>
          <w:szCs w:val="20"/>
        </w:rPr>
        <w:t>paging</w:t>
      </w:r>
      <w:r w:rsidRPr="001C2D90">
        <w:rPr>
          <w:szCs w:val="20"/>
        </w:rPr>
        <w:t xml:space="preserve"> (for MT calls, or to notify UE of system information changes) is crucial to the NR user experience in SA architecture; furthermore</w:t>
      </w:r>
      <w:r w:rsidR="002B3CE3">
        <w:rPr>
          <w:szCs w:val="20"/>
        </w:rPr>
        <w:t>,</w:t>
      </w:r>
      <w:r w:rsidRPr="001C2D90">
        <w:rPr>
          <w:szCs w:val="20"/>
        </w:rPr>
        <w:t xml:space="preserve"> system information change notification is relevant to DC architecture; for this reason, the paging channel should also benefit from robust channel access protection</w:t>
      </w:r>
      <w:r w:rsidR="002B3CE3">
        <w:rPr>
          <w:szCs w:val="20"/>
        </w:rPr>
        <w:t>.</w:t>
      </w:r>
    </w:p>
    <w:p w14:paraId="7144C34D" w14:textId="77777777" w:rsidR="006A4795" w:rsidRPr="001C2D90" w:rsidRDefault="006A4795" w:rsidP="006A4795">
      <w:pPr>
        <w:rPr>
          <w:szCs w:val="20"/>
        </w:rPr>
      </w:pPr>
      <w:r w:rsidRPr="001C2D90">
        <w:rPr>
          <w:szCs w:val="20"/>
        </w:rPr>
        <w:t xml:space="preserve">In 5GHz, for instance, high-priority medium access is subject to stringently short </w:t>
      </w:r>
      <w:proofErr w:type="spellStart"/>
      <w:r w:rsidRPr="001C2D90">
        <w:rPr>
          <w:szCs w:val="20"/>
        </w:rPr>
        <w:t>CoT</w:t>
      </w:r>
      <w:proofErr w:type="spellEnd"/>
      <w:r w:rsidRPr="001C2D90">
        <w:rPr>
          <w:szCs w:val="20"/>
        </w:rPr>
        <w:t xml:space="preserve"> (e.g. 1ms for one-shot LBT, 2 </w:t>
      </w:r>
      <w:proofErr w:type="spellStart"/>
      <w:r w:rsidRPr="001C2D90">
        <w:rPr>
          <w:szCs w:val="20"/>
        </w:rPr>
        <w:t>ms</w:t>
      </w:r>
      <w:proofErr w:type="spellEnd"/>
      <w:r w:rsidRPr="001C2D90">
        <w:rPr>
          <w:szCs w:val="20"/>
        </w:rPr>
        <w:t xml:space="preserve"> for priority-1 LBT). For this reason, it is important to multiplex important signals in frequency domain, to efficiently use SMTC-U resources.</w:t>
      </w:r>
    </w:p>
    <w:p w14:paraId="3B2A3F64" w14:textId="77777777" w:rsidR="006F0C0F" w:rsidRDefault="006A4795" w:rsidP="006F0C0F">
      <w:pPr>
        <w:keepNext/>
      </w:pPr>
      <w:r w:rsidRPr="001C2D90">
        <w:rPr>
          <w:noProof/>
          <w:szCs w:val="20"/>
        </w:rPr>
        <w:lastRenderedPageBreak/>
        <w:drawing>
          <wp:inline distT="0" distB="0" distL="0" distR="0" wp14:anchorId="73165583" wp14:editId="3ADB6A11">
            <wp:extent cx="5951220" cy="2390140"/>
            <wp:effectExtent l="0" t="0" r="0" b="0"/>
            <wp:docPr id="5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15"/>
                    <a:stretch>
                      <a:fillRect/>
                    </a:stretch>
                  </pic:blipFill>
                  <pic:spPr>
                    <a:xfrm>
                      <a:off x="0" y="0"/>
                      <a:ext cx="5951220" cy="2390140"/>
                    </a:xfrm>
                    <a:prstGeom prst="rect">
                      <a:avLst/>
                    </a:prstGeom>
                  </pic:spPr>
                </pic:pic>
              </a:graphicData>
            </a:graphic>
          </wp:inline>
        </w:drawing>
      </w:r>
    </w:p>
    <w:p w14:paraId="7616AB9C" w14:textId="27CBC022" w:rsidR="006F0C0F" w:rsidRPr="001C2D90" w:rsidRDefault="006F0C0F" w:rsidP="006F0C0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1C2D90">
        <w:t>RMSI / SSB multiplexing options in NR Rel-15</w:t>
      </w:r>
    </w:p>
    <w:p w14:paraId="1A52B02D" w14:textId="2713EF88" w:rsidR="006A4795" w:rsidRPr="001C2D90" w:rsidRDefault="006A4795" w:rsidP="006A4795">
      <w:pPr>
        <w:rPr>
          <w:szCs w:val="20"/>
        </w:rPr>
      </w:pPr>
      <w:r w:rsidRPr="001C2D90">
        <w:rPr>
          <w:szCs w:val="20"/>
        </w:rPr>
        <w:t>Only RMSI/SSB TDM (Pattern 1) is available in FR1, while patterns 1, 2, 3 are allowed in FR2, as illustrated above. Prohibiting the FDM-</w:t>
      </w:r>
      <w:proofErr w:type="spellStart"/>
      <w:r w:rsidRPr="001C2D90">
        <w:rPr>
          <w:szCs w:val="20"/>
        </w:rPr>
        <w:t>ing</w:t>
      </w:r>
      <w:proofErr w:type="spellEnd"/>
      <w:r w:rsidRPr="001C2D90">
        <w:rPr>
          <w:szCs w:val="20"/>
        </w:rPr>
        <w:t xml:space="preserve"> of SSB and RMSI may not make effective use of channel resources, or power spectrum regulatory restrictions.</w:t>
      </w:r>
    </w:p>
    <w:p w14:paraId="5BD5E233" w14:textId="010ECF3A" w:rsidR="006A4795" w:rsidRPr="004E297C" w:rsidRDefault="006A4795" w:rsidP="006A4795">
      <w:pPr>
        <w:rPr>
          <w:b/>
          <w:szCs w:val="20"/>
        </w:rPr>
      </w:pPr>
      <w:bookmarkStart w:id="8" w:name="init6"/>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6F0C0F">
        <w:rPr>
          <w:b/>
          <w:noProof/>
          <w:szCs w:val="20"/>
        </w:rPr>
        <w:t>4</w:t>
      </w:r>
      <w:r w:rsidR="004E297C" w:rsidRPr="004E297C">
        <w:rPr>
          <w:b/>
          <w:szCs w:val="20"/>
        </w:rPr>
        <w:fldChar w:fldCharType="end"/>
      </w:r>
      <w:r w:rsidRPr="004E297C">
        <w:rPr>
          <w:b/>
          <w:szCs w:val="20"/>
        </w:rPr>
        <w:t>: RMSI/SSB FDM is not available in FR1.</w:t>
      </w:r>
    </w:p>
    <w:p w14:paraId="2158EE29" w14:textId="50FF40E1" w:rsidR="006A4795" w:rsidRPr="004E297C" w:rsidRDefault="006A4795" w:rsidP="000E1963">
      <w:pPr>
        <w:spacing w:after="0"/>
        <w:rPr>
          <w:b/>
          <w:szCs w:val="20"/>
        </w:rPr>
      </w:pPr>
      <w:bookmarkStart w:id="9" w:name="init7"/>
      <w:bookmarkEnd w:id="8"/>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3</w:t>
      </w:r>
      <w:r w:rsidR="004E297C" w:rsidRPr="004E297C">
        <w:rPr>
          <w:b/>
          <w:szCs w:val="20"/>
        </w:rPr>
        <w:fldChar w:fldCharType="end"/>
      </w:r>
      <w:r w:rsidRPr="004E297C">
        <w:rPr>
          <w:b/>
          <w:szCs w:val="20"/>
        </w:rPr>
        <w:t xml:space="preserve">: Critical system BCH and Paging to be transmitted in SMTC-U. </w:t>
      </w:r>
    </w:p>
    <w:p w14:paraId="6BB56AB1" w14:textId="77777777" w:rsidR="006A4795" w:rsidRPr="001C2D90" w:rsidRDefault="006A4795" w:rsidP="004E297C">
      <w:pPr>
        <w:pStyle w:val="ListParagraph"/>
        <w:numPr>
          <w:ilvl w:val="0"/>
          <w:numId w:val="19"/>
        </w:numPr>
        <w:kinsoku/>
        <w:overflowPunct/>
        <w:rPr>
          <w:b/>
        </w:rPr>
      </w:pPr>
      <w:r w:rsidRPr="001C2D90">
        <w:rPr>
          <w:b/>
        </w:rPr>
        <w:t>Channel multiplexing options to be considered, for maximum regulatory protection</w:t>
      </w:r>
    </w:p>
    <w:p w14:paraId="29CAF34D" w14:textId="77777777" w:rsidR="006A4795" w:rsidRPr="001C2D90" w:rsidRDefault="006A4795" w:rsidP="004E297C">
      <w:pPr>
        <w:pStyle w:val="ListParagraph"/>
        <w:numPr>
          <w:ilvl w:val="0"/>
          <w:numId w:val="19"/>
        </w:numPr>
        <w:kinsoku/>
        <w:overflowPunct/>
        <w:rPr>
          <w:b/>
        </w:rPr>
      </w:pPr>
      <w:r w:rsidRPr="001C2D90">
        <w:rPr>
          <w:b/>
        </w:rPr>
        <w:t xml:space="preserve">DRS transmission in SMTC-U should avoid gaps that would lead to loss of </w:t>
      </w:r>
      <w:proofErr w:type="spellStart"/>
      <w:r w:rsidRPr="001C2D90">
        <w:rPr>
          <w:b/>
        </w:rPr>
        <w:t>TxOP</w:t>
      </w:r>
      <w:proofErr w:type="spellEnd"/>
      <w:r w:rsidRPr="001C2D90">
        <w:rPr>
          <w:b/>
        </w:rPr>
        <w:t>.</w:t>
      </w:r>
    </w:p>
    <w:bookmarkEnd w:id="9"/>
    <w:p w14:paraId="69E49322" w14:textId="77777777" w:rsidR="006A4795" w:rsidRPr="001C2D90" w:rsidRDefault="006A4795" w:rsidP="006A4795">
      <w:pPr>
        <w:rPr>
          <w:szCs w:val="20"/>
        </w:rPr>
      </w:pPr>
    </w:p>
    <w:p w14:paraId="2EBF84BD" w14:textId="66CC578F" w:rsidR="006A4795" w:rsidRPr="001C2D90" w:rsidRDefault="006A4795" w:rsidP="006A4795">
      <w:pPr>
        <w:rPr>
          <w:szCs w:val="20"/>
        </w:rPr>
      </w:pPr>
      <w:r w:rsidRPr="001C2D90">
        <w:rPr>
          <w:szCs w:val="20"/>
        </w:rPr>
        <w:t>In the figure below, frequency and time multiplexing of SSB with RMSI, critical SI and paging is illustrated for SCS 15 kHz; in this illustration, robust DL channels are sent in inter-SSB gaps, which has the additional benefit of avoiding channel loss to another LBT contending node.</w:t>
      </w:r>
    </w:p>
    <w:p w14:paraId="4B61E117" w14:textId="77777777" w:rsidR="006F0C0F" w:rsidRDefault="006A4795" w:rsidP="006F0C0F">
      <w:pPr>
        <w:keepNext/>
      </w:pPr>
      <w:r w:rsidRPr="001C2D90">
        <w:rPr>
          <w:noProof/>
          <w:szCs w:val="20"/>
        </w:rPr>
        <w:drawing>
          <wp:inline distT="0" distB="0" distL="0" distR="0" wp14:anchorId="0E80E22C" wp14:editId="01717D37">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27BEC2BA" w14:textId="7351F4C8" w:rsidR="006F0C0F" w:rsidRPr="001C2D90" w:rsidRDefault="006F0C0F" w:rsidP="006F0C0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w:t>
      </w:r>
      <w:r w:rsidRPr="006F0C0F">
        <w:t xml:space="preserve"> </w:t>
      </w:r>
      <w:r w:rsidRPr="001C2D90">
        <w:t>Illustration of multiplexing SSB with other robust DL channels (for Rel-16)</w:t>
      </w:r>
    </w:p>
    <w:p w14:paraId="655103EE" w14:textId="77777777" w:rsidR="006A4795" w:rsidRPr="001C2D90" w:rsidRDefault="006A4795" w:rsidP="006A4795">
      <w:pPr>
        <w:rPr>
          <w:szCs w:val="20"/>
        </w:rPr>
      </w:pPr>
      <w:r w:rsidRPr="001C2D90">
        <w:rPr>
          <w:szCs w:val="20"/>
        </w:rP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p>
    <w:p w14:paraId="48452918" w14:textId="72FF76B3" w:rsidR="006A4795" w:rsidRPr="004E297C" w:rsidRDefault="006A4795" w:rsidP="006A4795">
      <w:pPr>
        <w:rPr>
          <w:b/>
          <w:szCs w:val="20"/>
        </w:rPr>
      </w:pPr>
      <w:bookmarkStart w:id="10" w:name="init8"/>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4</w:t>
      </w:r>
      <w:r w:rsidR="004E297C" w:rsidRPr="004E297C">
        <w:rPr>
          <w:b/>
          <w:szCs w:val="20"/>
        </w:rPr>
        <w:fldChar w:fldCharType="end"/>
      </w:r>
      <w:r w:rsidRPr="004E297C">
        <w:rPr>
          <w:b/>
          <w:szCs w:val="20"/>
        </w:rPr>
        <w:t>: NR Rel-16 should minimize the likelihood of UE page losses, without unduly increasing UE power consumption or paging latency.</w:t>
      </w:r>
    </w:p>
    <w:bookmarkEnd w:id="10"/>
    <w:p w14:paraId="43E4EE47" w14:textId="7E748A5D" w:rsidR="006A4795" w:rsidRPr="00A121E9" w:rsidRDefault="004E297C" w:rsidP="004E297C">
      <w:pPr>
        <w:pStyle w:val="Heading3"/>
        <w:numPr>
          <w:ilvl w:val="0"/>
          <w:numId w:val="0"/>
        </w:numPr>
        <w:ind w:left="720" w:hanging="720"/>
      </w:pPr>
      <w:r>
        <w:t>2.</w:t>
      </w:r>
      <w:r w:rsidR="00F8304F">
        <w:t>1</w:t>
      </w:r>
      <w:r>
        <w:t>.3</w:t>
      </w:r>
      <w:r w:rsidR="006A4795" w:rsidRPr="00A121E9">
        <w:tab/>
      </w:r>
      <w:r w:rsidR="006A4795" w:rsidRPr="00A121E9">
        <w:rPr>
          <w:noProof/>
        </w:rPr>
        <w:drawing>
          <wp:anchor distT="0" distB="0" distL="114300" distR="114300" simplePos="0" relativeHeight="251713536" behindDoc="0" locked="0" layoutInCell="1" allowOverlap="1" wp14:anchorId="79DD688A" wp14:editId="3E0073DD">
            <wp:simplePos x="0" y="0"/>
            <wp:positionH relativeFrom="column">
              <wp:posOffset>12435840</wp:posOffset>
            </wp:positionH>
            <wp:positionV relativeFrom="paragraph">
              <wp:posOffset>510132</wp:posOffset>
            </wp:positionV>
            <wp:extent cx="3079814" cy="3711321"/>
            <wp:effectExtent l="0" t="0" r="6350" b="3810"/>
            <wp:wrapNone/>
            <wp:docPr id="59"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006A4795" w:rsidRPr="00A121E9">
        <w:t>PRACH</w:t>
      </w:r>
    </w:p>
    <w:p w14:paraId="4095FFC5" w14:textId="77777777" w:rsidR="006A4795" w:rsidRPr="001C2D90" w:rsidRDefault="006A4795" w:rsidP="006A4795">
      <w:pPr>
        <w:rPr>
          <w:szCs w:val="20"/>
        </w:rPr>
      </w:pPr>
      <w:r w:rsidRPr="001C2D90">
        <w:rPr>
          <w:szCs w:val="20"/>
        </w:rPr>
        <w:t xml:space="preserve">Subsequent to cell acquisition, NR-U must ensure robust uplink access, for seamless user experience. For this purpose, </w:t>
      </w:r>
      <w:r w:rsidRPr="001C2D90">
        <w:rPr>
          <w:szCs w:val="20"/>
        </w:rPr>
        <w:lastRenderedPageBreak/>
        <w:t xml:space="preserve">we propose that UE uplink access (at least for initial and mobility purposes) benefit from robust channel access protection, by mapping RACH occasions to a protected window. </w:t>
      </w:r>
    </w:p>
    <w:p w14:paraId="78DC735A" w14:textId="51AA5093" w:rsidR="006A4795" w:rsidRPr="004E297C" w:rsidRDefault="006A4795" w:rsidP="000E1963">
      <w:pPr>
        <w:spacing w:after="0"/>
        <w:rPr>
          <w:b/>
          <w:szCs w:val="20"/>
        </w:rPr>
      </w:pPr>
      <w:bookmarkStart w:id="11" w:name="init9"/>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5</w:t>
      </w:r>
      <w:r w:rsidR="004E297C" w:rsidRPr="004E297C">
        <w:rPr>
          <w:b/>
          <w:szCs w:val="20"/>
        </w:rPr>
        <w:fldChar w:fldCharType="end"/>
      </w:r>
      <w:r w:rsidRPr="004E297C">
        <w:rPr>
          <w:b/>
          <w:szCs w:val="20"/>
        </w:rPr>
        <w:t xml:space="preserve">: RAN1 should study robust RACH channel protection for NR-U, at least for RACH mapped from SSB. </w:t>
      </w:r>
    </w:p>
    <w:p w14:paraId="3C424E9D" w14:textId="77777777" w:rsidR="006A4795" w:rsidRPr="001C2D90" w:rsidRDefault="006A4795" w:rsidP="004E297C">
      <w:pPr>
        <w:pStyle w:val="ListParagraph"/>
        <w:numPr>
          <w:ilvl w:val="0"/>
          <w:numId w:val="19"/>
        </w:numPr>
        <w:kinsoku/>
        <w:overflowPunct/>
        <w:rPr>
          <w:b/>
        </w:rPr>
      </w:pPr>
      <w:r w:rsidRPr="001C2D90">
        <w:rPr>
          <w:b/>
        </w:rPr>
        <w:t>RAN1 should work with RAN2 to signal the protected access window to which robust RACH occasions are mapped.</w:t>
      </w:r>
    </w:p>
    <w:bookmarkEnd w:id="11"/>
    <w:p w14:paraId="51F19091" w14:textId="3BF1F301" w:rsidR="006A4795" w:rsidRPr="004659A2" w:rsidRDefault="006A4795" w:rsidP="00F8304F">
      <w:pPr>
        <w:pStyle w:val="Heading2"/>
      </w:pPr>
      <w:r w:rsidRPr="004659A2">
        <w:rPr>
          <w:noProof/>
        </w:rPr>
        <w:drawing>
          <wp:anchor distT="0" distB="0" distL="114300" distR="114300" simplePos="0" relativeHeight="251712512" behindDoc="0" locked="0" layoutInCell="1" allowOverlap="1" wp14:anchorId="3269C2B9" wp14:editId="1E5FFA17">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004E297C">
        <w:t>2.2</w:t>
      </w:r>
      <w:r w:rsidRPr="004659A2">
        <w:t xml:space="preserve"> Mobility and RLM</w:t>
      </w:r>
    </w:p>
    <w:p w14:paraId="3B43DFDF" w14:textId="77777777" w:rsidR="006A4795" w:rsidRPr="001C2D90" w:rsidRDefault="006A4795" w:rsidP="006A4795">
      <w:pPr>
        <w:rPr>
          <w:szCs w:val="20"/>
        </w:rPr>
      </w:pPr>
      <w:r w:rsidRPr="001C2D90">
        <w:rPr>
          <w:szCs w:val="20"/>
        </w:rPr>
        <w:t xml:space="preserve">RRM events that depend on serving cell quality would benefit from limiting UE measurements (for power consumption reasons, especially for UEs configured with connected-mode DRX), to windows of time where RS is expected to be robustly available (i.e. SMTC-U). A similar observation applies to UEs measurements of </w:t>
      </w:r>
      <w:proofErr w:type="spellStart"/>
      <w:r w:rsidRPr="001C2D90">
        <w:rPr>
          <w:szCs w:val="20"/>
        </w:rPr>
        <w:t>neighbor</w:t>
      </w:r>
      <w:proofErr w:type="spellEnd"/>
      <w:r w:rsidRPr="001C2D90">
        <w:rPr>
          <w:szCs w:val="20"/>
        </w:rPr>
        <w:t xml:space="preserve"> cell RS, in connected mode:</w:t>
      </w:r>
    </w:p>
    <w:p w14:paraId="5B46C74B" w14:textId="77777777" w:rsidR="006A4795" w:rsidRPr="001C2D90" w:rsidRDefault="006A4795" w:rsidP="006A4795">
      <w:pPr>
        <w:rPr>
          <w:szCs w:val="20"/>
        </w:rPr>
      </w:pPr>
      <w:r w:rsidRPr="001C2D90">
        <w:rPr>
          <w:szCs w:val="20"/>
        </w:rPr>
        <w:t>Carrier load information is important to both determine the quality of a handover target, as well as to help the deployment determine good carriers for gNB cells.</w:t>
      </w:r>
    </w:p>
    <w:p w14:paraId="6B3ED195" w14:textId="77777777" w:rsidR="006A4795" w:rsidRPr="001C2D90" w:rsidRDefault="006A4795" w:rsidP="006A4795">
      <w:pPr>
        <w:rPr>
          <w:szCs w:val="20"/>
        </w:rPr>
      </w:pPr>
      <w:r w:rsidRPr="001C2D90">
        <w:rPr>
          <w:szCs w:val="20"/>
        </w:rPr>
        <w:t>When monitoring the radio link quality of a serving cell, the RLM function should be robust to occasional erasures of RLM RS, which can happen in spite of robust channel protection. Furthermore, cell signal strength is not a sufficient serving cell quality indicator for of cells deployed in a multi-operator contention carrier. A contention metric is additionally preferable to ensure UEs camp on cells that achieve a good performance between signal strength and signal availability at the UE location.</w:t>
      </w:r>
    </w:p>
    <w:p w14:paraId="38AD0F90" w14:textId="2F318E67" w:rsidR="006A4795" w:rsidRPr="004E297C" w:rsidRDefault="006A4795" w:rsidP="000E1963">
      <w:pPr>
        <w:spacing w:after="0"/>
        <w:rPr>
          <w:b/>
          <w:szCs w:val="20"/>
        </w:rPr>
      </w:pPr>
      <w:bookmarkStart w:id="12" w:name="init10"/>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6F0C0F">
        <w:rPr>
          <w:b/>
          <w:noProof/>
          <w:szCs w:val="20"/>
        </w:rPr>
        <w:t>6</w:t>
      </w:r>
      <w:r w:rsidR="004E297C" w:rsidRPr="004E297C">
        <w:rPr>
          <w:b/>
          <w:szCs w:val="20"/>
        </w:rPr>
        <w:fldChar w:fldCharType="end"/>
      </w:r>
      <w:r w:rsidRPr="004E297C">
        <w:rPr>
          <w:b/>
          <w:szCs w:val="20"/>
        </w:rPr>
        <w:t xml:space="preserve">: SMTC-U to be the basis of RRM and RLM. </w:t>
      </w:r>
    </w:p>
    <w:p w14:paraId="623AC700" w14:textId="77777777" w:rsidR="006A4795" w:rsidRPr="001C2D90" w:rsidRDefault="006A4795" w:rsidP="004E297C">
      <w:pPr>
        <w:pStyle w:val="ListParagraph"/>
        <w:numPr>
          <w:ilvl w:val="0"/>
          <w:numId w:val="19"/>
        </w:numPr>
        <w:kinsoku/>
        <w:overflowPunct/>
        <w:rPr>
          <w:b/>
        </w:rPr>
      </w:pPr>
      <w:r w:rsidRPr="001C2D90">
        <w:rPr>
          <w:b/>
        </w:rPr>
        <w:t>In addition to RSRP/RSRQ/SINR, RRM should support measurements of medium contention (e.g. RSSI) for carrier and target selection.</w:t>
      </w:r>
    </w:p>
    <w:p w14:paraId="03F133FB" w14:textId="77777777" w:rsidR="006A4795" w:rsidRPr="001C2D90" w:rsidRDefault="006A4795" w:rsidP="004E297C">
      <w:pPr>
        <w:pStyle w:val="ListParagraph"/>
        <w:numPr>
          <w:ilvl w:val="0"/>
          <w:numId w:val="19"/>
        </w:numPr>
        <w:kinsoku/>
        <w:overflowPunct/>
        <w:rPr>
          <w:b/>
        </w:rPr>
      </w:pPr>
      <w:r w:rsidRPr="001C2D90">
        <w:rPr>
          <w:b/>
        </w:rPr>
        <w:t>RLM to support both signal strength and load measurements</w:t>
      </w:r>
    </w:p>
    <w:bookmarkEnd w:id="12"/>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3F4DD1E4" w14:textId="77777777" w:rsidR="006F0C0F" w:rsidRPr="004E297C" w:rsidRDefault="00FD32F7" w:rsidP="006A4795">
      <w:pPr>
        <w:rPr>
          <w:b/>
          <w:szCs w:val="20"/>
        </w:rPr>
      </w:pPr>
      <w:r>
        <w:rPr>
          <w:lang w:eastAsia="ko-KR"/>
        </w:rPr>
        <w:fldChar w:fldCharType="begin"/>
      </w:r>
      <w:r>
        <w:rPr>
          <w:lang w:eastAsia="ko-KR"/>
        </w:rPr>
        <w:instrText xml:space="preserve"> REF init1 \h </w:instrText>
      </w:r>
      <w:r>
        <w:rPr>
          <w:lang w:eastAsia="ko-KR"/>
        </w:rPr>
      </w:r>
      <w:r>
        <w:rPr>
          <w:lang w:eastAsia="ko-KR"/>
        </w:rPr>
        <w:fldChar w:fldCharType="separate"/>
      </w:r>
      <w:r w:rsidR="006F0C0F" w:rsidRPr="004E297C">
        <w:rPr>
          <w:b/>
          <w:szCs w:val="20"/>
        </w:rPr>
        <w:t xml:space="preserve">Observation </w:t>
      </w:r>
      <w:r w:rsidR="006F0C0F">
        <w:rPr>
          <w:b/>
          <w:noProof/>
          <w:szCs w:val="20"/>
        </w:rPr>
        <w:t>1</w:t>
      </w:r>
      <w:r w:rsidR="006F0C0F" w:rsidRPr="004E297C">
        <w:rPr>
          <w:b/>
          <w:szCs w:val="20"/>
        </w:rPr>
        <w:t>: In LBT bands, deterministic timing cannot be expected for downlink and uplink channels used for cell detection, RRM, paging and (initial, possibly subsequent) uplink access.</w:t>
      </w:r>
    </w:p>
    <w:p w14:paraId="133854CA"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init2 \h </w:instrText>
      </w:r>
      <w:r>
        <w:rPr>
          <w:lang w:eastAsia="ko-KR"/>
        </w:rPr>
      </w:r>
      <w:r>
        <w:rPr>
          <w:lang w:eastAsia="ko-KR"/>
        </w:rPr>
        <w:fldChar w:fldCharType="separate"/>
      </w:r>
      <w:r w:rsidR="006F0C0F" w:rsidRPr="004E297C">
        <w:rPr>
          <w:b/>
          <w:szCs w:val="20"/>
        </w:rPr>
        <w:t xml:space="preserve">Proposal </w:t>
      </w:r>
      <w:r w:rsidR="006F0C0F">
        <w:rPr>
          <w:b/>
          <w:noProof/>
          <w:szCs w:val="20"/>
        </w:rPr>
        <w:t>1</w:t>
      </w:r>
      <w:r w:rsidR="006F0C0F" w:rsidRPr="004E297C">
        <w:rPr>
          <w:b/>
          <w:szCs w:val="20"/>
        </w:rPr>
        <w:t>: Cell discovery and mobility should support both synchronous and asynchronous neighbour cell (intra and inter-operator) deployments.</w:t>
      </w:r>
    </w:p>
    <w:p w14:paraId="3062CA17"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init3 \h </w:instrText>
      </w:r>
      <w:r>
        <w:rPr>
          <w:lang w:eastAsia="ko-KR"/>
        </w:rPr>
      </w:r>
      <w:r>
        <w:rPr>
          <w:lang w:eastAsia="ko-KR"/>
        </w:rPr>
        <w:fldChar w:fldCharType="separate"/>
      </w:r>
      <w:r w:rsidR="006F0C0F" w:rsidRPr="004E297C">
        <w:rPr>
          <w:b/>
          <w:szCs w:val="20"/>
        </w:rPr>
        <w:t xml:space="preserve">Observation </w:t>
      </w:r>
      <w:r w:rsidR="006F0C0F">
        <w:rPr>
          <w:b/>
          <w:noProof/>
          <w:szCs w:val="20"/>
        </w:rPr>
        <w:t>2</w:t>
      </w:r>
      <w:r w:rsidR="006F0C0F" w:rsidRPr="004E297C">
        <w:rPr>
          <w:b/>
          <w:szCs w:val="20"/>
        </w:rPr>
        <w:t>: SS bursts are the basis for discovery signal (DRS) design in NR unlicensed cells.</w:t>
      </w:r>
    </w:p>
    <w:p w14:paraId="3237E1A8"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init4 \h </w:instrText>
      </w:r>
      <w:r>
        <w:rPr>
          <w:lang w:eastAsia="ko-KR"/>
        </w:rPr>
      </w:r>
      <w:r>
        <w:rPr>
          <w:lang w:eastAsia="ko-KR"/>
        </w:rPr>
        <w:fldChar w:fldCharType="separate"/>
      </w:r>
      <w:r w:rsidR="006F0C0F" w:rsidRPr="004E297C">
        <w:rPr>
          <w:b/>
          <w:szCs w:val="20"/>
        </w:rPr>
        <w:t xml:space="preserve">Proposal </w:t>
      </w:r>
      <w:r w:rsidR="006F0C0F">
        <w:rPr>
          <w:b/>
          <w:noProof/>
          <w:szCs w:val="20"/>
        </w:rPr>
        <w:t>2</w:t>
      </w:r>
      <w:r w:rsidR="006F0C0F" w:rsidRPr="004E297C">
        <w:rPr>
          <w:b/>
          <w:szCs w:val="20"/>
        </w:rPr>
        <w:t xml:space="preserve">: Discovery signal should be transmitted opportunistically in a window every SMTC-U (SMTC for NR Unlicensed) period. Discovery window design should </w:t>
      </w:r>
      <w:r w:rsidR="006F0C0F">
        <w:rPr>
          <w:b/>
          <w:szCs w:val="20"/>
        </w:rPr>
        <w:t xml:space="preserve">strive </w:t>
      </w:r>
      <w:r w:rsidR="006F0C0F" w:rsidRPr="004E297C">
        <w:rPr>
          <w:b/>
          <w:szCs w:val="20"/>
        </w:rPr>
        <w:t xml:space="preserve">to benefit – to the extent possible under regulation – from higher priority access or protection </w:t>
      </w:r>
    </w:p>
    <w:p w14:paraId="73D00963"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init5 \h </w:instrText>
      </w:r>
      <w:r>
        <w:rPr>
          <w:lang w:eastAsia="ko-KR"/>
        </w:rPr>
      </w:r>
      <w:r>
        <w:rPr>
          <w:lang w:eastAsia="ko-KR"/>
        </w:rPr>
        <w:fldChar w:fldCharType="separate"/>
      </w:r>
      <w:r w:rsidR="006F0C0F" w:rsidRPr="004E297C">
        <w:rPr>
          <w:b/>
          <w:szCs w:val="20"/>
        </w:rPr>
        <w:t xml:space="preserve">Observation </w:t>
      </w:r>
      <w:r w:rsidR="006F0C0F">
        <w:rPr>
          <w:b/>
          <w:noProof/>
          <w:szCs w:val="20"/>
        </w:rPr>
        <w:t>3</w:t>
      </w:r>
      <w:r w:rsidR="006F0C0F" w:rsidRPr="004E297C">
        <w:rPr>
          <w:b/>
          <w:szCs w:val="20"/>
        </w:rPr>
        <w:t xml:space="preserve">: SSB index </w:t>
      </w:r>
      <w:proofErr w:type="spellStart"/>
      <w:r w:rsidR="006F0C0F" w:rsidRPr="004E297C">
        <w:rPr>
          <w:b/>
          <w:szCs w:val="20"/>
        </w:rPr>
        <w:t>signaling</w:t>
      </w:r>
      <w:proofErr w:type="spellEnd"/>
      <w:r w:rsidR="006F0C0F" w:rsidRPr="004E297C">
        <w:rPr>
          <w:b/>
          <w:szCs w:val="20"/>
        </w:rPr>
        <w:t xml:space="preserve"> needs </w:t>
      </w:r>
      <w:proofErr w:type="gramStart"/>
      <w:r w:rsidR="006F0C0F" w:rsidRPr="004E297C">
        <w:rPr>
          <w:b/>
          <w:szCs w:val="20"/>
        </w:rPr>
        <w:t>particular consideration</w:t>
      </w:r>
      <w:proofErr w:type="gramEnd"/>
      <w:r w:rsidR="006F0C0F" w:rsidRPr="004E297C">
        <w:rPr>
          <w:b/>
          <w:szCs w:val="20"/>
        </w:rPr>
        <w:t xml:space="preserve"> for NR Unlicensed.</w:t>
      </w:r>
    </w:p>
    <w:p w14:paraId="5DAC94AA"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init6 \h </w:instrText>
      </w:r>
      <w:r>
        <w:rPr>
          <w:lang w:eastAsia="ko-KR"/>
        </w:rPr>
      </w:r>
      <w:r>
        <w:rPr>
          <w:lang w:eastAsia="ko-KR"/>
        </w:rPr>
        <w:fldChar w:fldCharType="separate"/>
      </w:r>
      <w:r w:rsidR="006F0C0F" w:rsidRPr="004E297C">
        <w:rPr>
          <w:b/>
          <w:szCs w:val="20"/>
        </w:rPr>
        <w:t xml:space="preserve">Observation </w:t>
      </w:r>
      <w:r w:rsidR="006F0C0F">
        <w:rPr>
          <w:b/>
          <w:noProof/>
          <w:szCs w:val="20"/>
        </w:rPr>
        <w:t>4</w:t>
      </w:r>
      <w:r w:rsidR="006F0C0F" w:rsidRPr="004E297C">
        <w:rPr>
          <w:b/>
          <w:szCs w:val="20"/>
        </w:rPr>
        <w:t>: RMSI/SSB FDM is not available in FR1.</w:t>
      </w:r>
    </w:p>
    <w:p w14:paraId="24245460" w14:textId="77777777" w:rsidR="006F0C0F"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init7 \h </w:instrText>
      </w:r>
      <w:r>
        <w:rPr>
          <w:lang w:eastAsia="ko-KR"/>
        </w:rPr>
      </w:r>
      <w:r>
        <w:rPr>
          <w:lang w:eastAsia="ko-KR"/>
        </w:rPr>
        <w:fldChar w:fldCharType="separate"/>
      </w:r>
      <w:r w:rsidR="006F0C0F" w:rsidRPr="004E297C">
        <w:rPr>
          <w:b/>
          <w:szCs w:val="20"/>
        </w:rPr>
        <w:t xml:space="preserve">Proposal </w:t>
      </w:r>
      <w:r w:rsidR="006F0C0F">
        <w:rPr>
          <w:b/>
          <w:noProof/>
          <w:szCs w:val="20"/>
        </w:rPr>
        <w:t>3</w:t>
      </w:r>
      <w:r w:rsidR="006F0C0F" w:rsidRPr="004E297C">
        <w:rPr>
          <w:b/>
          <w:szCs w:val="20"/>
        </w:rPr>
        <w:t xml:space="preserve">: Critical system BCH and Paging to be transmitted in SMTC-U. </w:t>
      </w:r>
    </w:p>
    <w:p w14:paraId="20C59B7A" w14:textId="77777777" w:rsidR="006F0C0F" w:rsidRPr="001C2D90" w:rsidRDefault="006F0C0F" w:rsidP="004E297C">
      <w:pPr>
        <w:pStyle w:val="ListParagraph"/>
        <w:numPr>
          <w:ilvl w:val="0"/>
          <w:numId w:val="19"/>
        </w:numPr>
        <w:kinsoku/>
        <w:overflowPunct/>
        <w:rPr>
          <w:b/>
        </w:rPr>
      </w:pPr>
      <w:r w:rsidRPr="001C2D90">
        <w:rPr>
          <w:b/>
        </w:rPr>
        <w:t>Channel multiplexing options to be considered, for maximum regulatory protection</w:t>
      </w:r>
    </w:p>
    <w:p w14:paraId="57EA5E6D" w14:textId="77777777" w:rsidR="006F0C0F" w:rsidRPr="001C2D90" w:rsidRDefault="006F0C0F" w:rsidP="004E297C">
      <w:pPr>
        <w:pStyle w:val="ListParagraph"/>
        <w:numPr>
          <w:ilvl w:val="0"/>
          <w:numId w:val="19"/>
        </w:numPr>
        <w:kinsoku/>
        <w:overflowPunct/>
        <w:rPr>
          <w:b/>
        </w:rPr>
      </w:pPr>
      <w:r w:rsidRPr="001C2D90">
        <w:rPr>
          <w:b/>
        </w:rPr>
        <w:t xml:space="preserve">DRS transmission in SMTC-U should avoid gaps that would lead to loss of </w:t>
      </w:r>
      <w:proofErr w:type="spellStart"/>
      <w:r w:rsidRPr="001C2D90">
        <w:rPr>
          <w:b/>
        </w:rPr>
        <w:t>TxOP</w:t>
      </w:r>
      <w:proofErr w:type="spellEnd"/>
      <w:r w:rsidRPr="001C2D90">
        <w:rPr>
          <w:b/>
        </w:rPr>
        <w:t>.</w:t>
      </w:r>
    </w:p>
    <w:p w14:paraId="52CFDE12" w14:textId="77777777" w:rsidR="006F0C0F"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init8 \h </w:instrText>
      </w:r>
      <w:r>
        <w:rPr>
          <w:lang w:eastAsia="ko-KR"/>
        </w:rPr>
      </w:r>
      <w:r>
        <w:rPr>
          <w:lang w:eastAsia="ko-KR"/>
        </w:rPr>
        <w:fldChar w:fldCharType="separate"/>
      </w:r>
      <w:r w:rsidR="006F0C0F" w:rsidRPr="004E297C">
        <w:rPr>
          <w:b/>
          <w:szCs w:val="20"/>
        </w:rPr>
        <w:t>Pro</w:t>
      </w:r>
      <w:bookmarkStart w:id="13" w:name="_GoBack"/>
      <w:bookmarkEnd w:id="13"/>
      <w:r w:rsidR="006F0C0F" w:rsidRPr="004E297C">
        <w:rPr>
          <w:b/>
          <w:szCs w:val="20"/>
        </w:rPr>
        <w:t xml:space="preserve">posal </w:t>
      </w:r>
      <w:r w:rsidR="006F0C0F">
        <w:rPr>
          <w:b/>
          <w:noProof/>
          <w:szCs w:val="20"/>
        </w:rPr>
        <w:t>4</w:t>
      </w:r>
      <w:r w:rsidR="006F0C0F" w:rsidRPr="004E297C">
        <w:rPr>
          <w:b/>
          <w:szCs w:val="20"/>
        </w:rPr>
        <w:t>: NR Rel-16 should minimize the likelihood of UE page losses, without unduly increasing UE power consumption or paging latency.</w:t>
      </w:r>
    </w:p>
    <w:p w14:paraId="3771C4A8" w14:textId="77777777" w:rsidR="006F0C0F"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init9 \h </w:instrText>
      </w:r>
      <w:r>
        <w:rPr>
          <w:lang w:eastAsia="ko-KR"/>
        </w:rPr>
      </w:r>
      <w:r>
        <w:rPr>
          <w:lang w:eastAsia="ko-KR"/>
        </w:rPr>
        <w:fldChar w:fldCharType="separate"/>
      </w:r>
      <w:r w:rsidR="006F0C0F" w:rsidRPr="004E297C">
        <w:rPr>
          <w:b/>
          <w:szCs w:val="20"/>
        </w:rPr>
        <w:t xml:space="preserve">Proposal </w:t>
      </w:r>
      <w:r w:rsidR="006F0C0F">
        <w:rPr>
          <w:b/>
          <w:noProof/>
          <w:szCs w:val="20"/>
        </w:rPr>
        <w:t>5</w:t>
      </w:r>
      <w:r w:rsidR="006F0C0F" w:rsidRPr="004E297C">
        <w:rPr>
          <w:b/>
          <w:szCs w:val="20"/>
        </w:rPr>
        <w:t xml:space="preserve">: RAN1 should study robust RACH channel protection for NR-U, at least for RACH mapped from SSB. </w:t>
      </w:r>
    </w:p>
    <w:p w14:paraId="2292346E" w14:textId="77777777" w:rsidR="006F0C0F" w:rsidRPr="001C2D90" w:rsidRDefault="006F0C0F" w:rsidP="004E297C">
      <w:pPr>
        <w:pStyle w:val="ListParagraph"/>
        <w:numPr>
          <w:ilvl w:val="0"/>
          <w:numId w:val="19"/>
        </w:numPr>
        <w:kinsoku/>
        <w:overflowPunct/>
        <w:rPr>
          <w:b/>
        </w:rPr>
      </w:pPr>
      <w:r w:rsidRPr="001C2D90">
        <w:rPr>
          <w:b/>
        </w:rPr>
        <w:t>RAN1 should work with RAN2 to signal the protected access window to which robust RACH occasions are mapped.</w:t>
      </w:r>
    </w:p>
    <w:p w14:paraId="4CD26ABD" w14:textId="77777777" w:rsidR="006F0C0F"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init10 \h </w:instrText>
      </w:r>
      <w:r>
        <w:rPr>
          <w:lang w:eastAsia="ko-KR"/>
        </w:rPr>
      </w:r>
      <w:r>
        <w:rPr>
          <w:lang w:eastAsia="ko-KR"/>
        </w:rPr>
        <w:fldChar w:fldCharType="separate"/>
      </w:r>
      <w:r w:rsidR="006F0C0F" w:rsidRPr="004E297C">
        <w:rPr>
          <w:b/>
          <w:szCs w:val="20"/>
        </w:rPr>
        <w:t xml:space="preserve">Proposal </w:t>
      </w:r>
      <w:r w:rsidR="006F0C0F">
        <w:rPr>
          <w:b/>
          <w:noProof/>
          <w:szCs w:val="20"/>
        </w:rPr>
        <w:t>6</w:t>
      </w:r>
      <w:r w:rsidR="006F0C0F" w:rsidRPr="004E297C">
        <w:rPr>
          <w:b/>
          <w:szCs w:val="20"/>
        </w:rPr>
        <w:t xml:space="preserve">: SMTC-U to be the basis of RRM and RLM. </w:t>
      </w:r>
    </w:p>
    <w:p w14:paraId="3F55BB50" w14:textId="77777777" w:rsidR="006F0C0F" w:rsidRPr="001C2D90" w:rsidRDefault="006F0C0F" w:rsidP="004E297C">
      <w:pPr>
        <w:pStyle w:val="ListParagraph"/>
        <w:numPr>
          <w:ilvl w:val="0"/>
          <w:numId w:val="19"/>
        </w:numPr>
        <w:kinsoku/>
        <w:overflowPunct/>
        <w:rPr>
          <w:b/>
        </w:rPr>
      </w:pPr>
      <w:r w:rsidRPr="001C2D90">
        <w:rPr>
          <w:b/>
        </w:rPr>
        <w:t>In addition to RSRP/RSRQ/SINR, RRM should support measurements of medium contention (e.g. RSSI) for carrier and target selection.</w:t>
      </w:r>
    </w:p>
    <w:p w14:paraId="56FFC00E" w14:textId="77777777" w:rsidR="006F0C0F" w:rsidRPr="001C2D90" w:rsidRDefault="006F0C0F" w:rsidP="004E297C">
      <w:pPr>
        <w:pStyle w:val="ListParagraph"/>
        <w:numPr>
          <w:ilvl w:val="0"/>
          <w:numId w:val="19"/>
        </w:numPr>
        <w:kinsoku/>
        <w:overflowPunct/>
        <w:rPr>
          <w:b/>
        </w:rPr>
      </w:pPr>
      <w:r w:rsidRPr="001C2D90">
        <w:rPr>
          <w:b/>
        </w:rPr>
        <w:t>RLM to support both signal strength and load measurements</w:t>
      </w:r>
    </w:p>
    <w:p w14:paraId="37B454C0" w14:textId="4BED214C" w:rsidR="00FB789D" w:rsidRPr="00E351E2" w:rsidRDefault="00FD32F7" w:rsidP="006F0C0F">
      <w:r>
        <w:rPr>
          <w:lang w:eastAsia="ko-KR"/>
        </w:rPr>
        <w:fldChar w:fldCharType="end"/>
      </w:r>
      <w:bookmarkEnd w:id="0"/>
      <w:bookmarkEnd w:id="1"/>
    </w:p>
    <w:sectPr w:rsidR="00FB789D" w:rsidRPr="00E351E2"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AC5FFF" w:rsidRDefault="00AC5FFF" w:rsidP="00F53A74">
      <w:r>
        <w:separator/>
      </w:r>
    </w:p>
    <w:p w14:paraId="46D5AE9F" w14:textId="77777777" w:rsidR="00AC5FFF" w:rsidRDefault="00AC5FFF" w:rsidP="00F53A74"/>
  </w:endnote>
  <w:endnote w:type="continuationSeparator" w:id="0">
    <w:p w14:paraId="199165EE" w14:textId="77777777" w:rsidR="00AC5FFF" w:rsidRDefault="00AC5FFF" w:rsidP="00F53A74">
      <w:r>
        <w:continuationSeparator/>
      </w:r>
    </w:p>
    <w:p w14:paraId="7A002AA8" w14:textId="77777777" w:rsidR="00AC5FFF" w:rsidRDefault="00AC5FFF" w:rsidP="00F53A74"/>
  </w:endnote>
  <w:endnote w:type="continuationNotice" w:id="1">
    <w:p w14:paraId="61BC82DB" w14:textId="77777777" w:rsidR="00AC5FFF" w:rsidRDefault="00AC5FFF" w:rsidP="00F53A74"/>
    <w:p w14:paraId="17F4F164" w14:textId="77777777" w:rsidR="00AC5FFF" w:rsidRDefault="00AC5FF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2BD18B26" w:rsidR="000D7394" w:rsidRDefault="000D7394">
        <w:pPr>
          <w:pStyle w:val="Footer"/>
          <w:jc w:val="center"/>
        </w:pPr>
        <w:r>
          <w:fldChar w:fldCharType="begin"/>
        </w:r>
        <w:r>
          <w:instrText xml:space="preserve"> PAGE   \* MERGEFORMAT </w:instrText>
        </w:r>
        <w:r>
          <w:fldChar w:fldCharType="separate"/>
        </w:r>
        <w:r w:rsidR="00F27063">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AC5FFF" w:rsidRDefault="00AC5FFF" w:rsidP="00F53A74">
      <w:r>
        <w:separator/>
      </w:r>
    </w:p>
    <w:p w14:paraId="7CF0E302" w14:textId="77777777" w:rsidR="00AC5FFF" w:rsidRDefault="00AC5FFF" w:rsidP="00F53A74"/>
  </w:footnote>
  <w:footnote w:type="continuationSeparator" w:id="0">
    <w:p w14:paraId="35C15650" w14:textId="77777777" w:rsidR="00AC5FFF" w:rsidRDefault="00AC5FFF" w:rsidP="00F53A74">
      <w:r>
        <w:continuationSeparator/>
      </w:r>
    </w:p>
    <w:p w14:paraId="55190B3C" w14:textId="77777777" w:rsidR="00AC5FFF" w:rsidRDefault="00AC5FFF" w:rsidP="00F53A74"/>
  </w:footnote>
  <w:footnote w:type="continuationNotice" w:id="1">
    <w:p w14:paraId="34D2255A" w14:textId="77777777" w:rsidR="00AC5FFF" w:rsidRDefault="00AC5FFF" w:rsidP="00F53A74"/>
    <w:p w14:paraId="7CEFB1F4" w14:textId="77777777" w:rsidR="00AC5FFF" w:rsidRDefault="00AC5FF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3EQ6UJ4K66FU-4-4335</_dlc_DocId>
    <_dlc_DocIdUrl xmlns="df4eea7b-52db-4162-980b-b352f1b580a3">
      <Url>https://projects.qualcomm.com/sites/meridian/_layouts/15/DocIdRedir.aspx?ID=3EQ6UJ4K66FU-4-4335</Url>
      <Description>3EQ6UJ4K66FU-4-4335</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B825B8C2-8CD1-4C98-856C-0194D080B87B}">
  <ds:schemaRefs>
    <ds:schemaRef ds:uri="http://schemas.openxmlformats.org/officeDocument/2006/bibliography"/>
  </ds:schemaRefs>
</ds:datastoreItem>
</file>

<file path=customXml/itemProps6.xml><?xml version="1.0" encoding="utf-8"?>
<ds:datastoreItem xmlns:ds="http://schemas.openxmlformats.org/officeDocument/2006/customXml" ds:itemID="{9FF76C2A-0C33-438D-B902-4BAB88BF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4627</TotalTime>
  <Pages>4</Pages>
  <Words>1765</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118</cp:revision>
  <cp:lastPrinted>2010-08-13T21:54:00Z</cp:lastPrinted>
  <dcterms:created xsi:type="dcterms:W3CDTF">2017-12-19T08:06:00Z</dcterms:created>
  <dcterms:modified xsi:type="dcterms:W3CDTF">2018-05-11T17:21:00Z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36a510e2-9ed9-43a6-8f88-b9223e1e0d4d</vt:lpwstr>
  </property>
</Properties>
</file>